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90474C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726"/>
        <w:tblW w:w="9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7110"/>
      </w:tblGrid>
      <w:tr w:rsidR="00115C1E" w:rsidRPr="0090474C" w14:paraId="294FC8D9" w14:textId="77777777" w:rsidTr="00115C1E">
        <w:trPr>
          <w:trHeight w:hRule="exact" w:val="37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7E64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T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itl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90474C">
              <w:rPr>
                <w:rFonts w:asciiTheme="majorHAnsi" w:eastAsia="Times New Roman" w:hAnsiTheme="majorHAnsi" w:cstheme="majorHAnsi"/>
                <w:spacing w:val="7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So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li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it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n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7AD4" w14:textId="4F2AD28D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z w:val="24"/>
                <w:szCs w:val="24"/>
              </w:rPr>
              <w:t>Consultancy for Media, Communications, and External Engagement</w:t>
            </w:r>
          </w:p>
        </w:tc>
      </w:tr>
      <w:tr w:rsidR="00115C1E" w:rsidRPr="0090474C" w14:paraId="3EAAB82F" w14:textId="77777777" w:rsidTr="00115C1E">
        <w:trPr>
          <w:trHeight w:hRule="exact" w:val="35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F4A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Procurement Process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EE82" w14:textId="77777777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Request for Proposal</w:t>
            </w:r>
          </w:p>
        </w:tc>
      </w:tr>
      <w:tr w:rsidR="00115C1E" w:rsidRPr="0090474C" w14:paraId="6A0C87D5" w14:textId="77777777" w:rsidTr="00115C1E">
        <w:trPr>
          <w:trHeight w:hRule="exact" w:val="319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BD70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Solicitation Reference No.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4DC6" w14:textId="756A3941" w:rsidR="00115C1E" w:rsidRPr="007129CF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1E212C">
              <w:t xml:space="preserve"> </w:t>
            </w:r>
            <w:hyperlink r:id="rId11" w:history="1">
              <w:r w:rsidR="001E212C" w:rsidRPr="007129CF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RFP AGRA-RW-1022</w:t>
              </w:r>
            </w:hyperlink>
          </w:p>
        </w:tc>
      </w:tr>
      <w:tr w:rsidR="00115C1E" w:rsidRPr="0090474C" w14:paraId="72E68621" w14:textId="77777777" w:rsidTr="00115C1E">
        <w:trPr>
          <w:trHeight w:hRule="exact" w:val="364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ED96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n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90474C">
              <w:rPr>
                <w:rFonts w:asciiTheme="majorHAnsi" w:eastAsia="Times New Roman" w:hAnsiTheme="majorHAnsi" w:cstheme="majorHAnsi"/>
                <w:spacing w:val="16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ff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5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90474C">
              <w:rPr>
                <w:rFonts w:asciiTheme="majorHAnsi" w:eastAsia="Times New Roman" w:hAnsiTheme="majorHAnsi" w:cstheme="majorHAnsi"/>
                <w:spacing w:val="9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dd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r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es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351" w14:textId="3226320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 </w:t>
            </w:r>
            <w:r w:rsidR="001E212C"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>AGRA Rwanda</w:t>
            </w:r>
          </w:p>
        </w:tc>
      </w:tr>
      <w:tr w:rsidR="00115C1E" w:rsidRPr="0090474C" w14:paraId="39D1AC52" w14:textId="77777777" w:rsidTr="000C78A7">
        <w:trPr>
          <w:trHeight w:hRule="exact" w:val="402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9BEC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Contact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FE" w14:textId="77777777" w:rsidR="00115C1E" w:rsidRPr="0090474C" w:rsidRDefault="00115C1E" w:rsidP="00115C1E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P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ocu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sz w:val="24"/>
                  <w:szCs w:val="24"/>
                  <w:lang w:val="pt-PT"/>
                </w:rPr>
                <w:t>m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en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t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sz w:val="24"/>
                  <w:szCs w:val="24"/>
                  <w:lang w:val="pt-PT"/>
                </w:rPr>
                <w:t>@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ag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.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w w:val="102"/>
                  <w:sz w:val="24"/>
                  <w:szCs w:val="24"/>
                  <w:lang w:val="pt-PT"/>
                </w:rPr>
                <w:t>g/</w:t>
              </w:r>
            </w:hyperlink>
            <w:r w:rsidRPr="0090474C">
              <w:rPr>
                <w:rFonts w:asciiTheme="majorHAnsi" w:eastAsia="Times New Roman" w:hAnsiTheme="majorHAnsi" w:cstheme="majorHAnsi"/>
                <w:color w:val="0563C1"/>
                <w:w w:val="102"/>
                <w:sz w:val="24"/>
                <w:szCs w:val="24"/>
                <w:u w:val="single" w:color="0563C1"/>
                <w:lang w:val="pt-PT"/>
              </w:rPr>
              <w:t xml:space="preserve"> </w:t>
            </w:r>
          </w:p>
        </w:tc>
      </w:tr>
      <w:tr w:rsidR="00115C1E" w:rsidRPr="0090474C" w14:paraId="178FDB39" w14:textId="77777777" w:rsidTr="000C78A7">
        <w:trPr>
          <w:trHeight w:hRule="exact" w:val="41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9CEE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Eligibility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9D1" w14:textId="114E4165" w:rsidR="00115C1E" w:rsidRPr="0090474C" w:rsidRDefault="000C78A7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Open to all Nationalities</w:t>
            </w:r>
          </w:p>
        </w:tc>
      </w:tr>
      <w:tr w:rsidR="00115C1E" w:rsidRPr="0090474C" w14:paraId="3112906D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A73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li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ti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spacing w:val="13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D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EDB" w14:textId="19DBC7BF" w:rsidR="00115C1E" w:rsidRPr="00D6506F" w:rsidRDefault="00115C1E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11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April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2024</w:t>
            </w:r>
          </w:p>
        </w:tc>
      </w:tr>
      <w:tr w:rsidR="00115C1E" w:rsidRPr="0090474C" w14:paraId="0CFCC318" w14:textId="77777777" w:rsidTr="00C43111">
        <w:trPr>
          <w:trHeight w:hRule="exact" w:val="1887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6969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Style w:val="normaltextrun"/>
                <w:rFonts w:ascii="Calibri Light" w:hAnsi="Calibri Light" w:cs="Calibri Light"/>
              </w:rPr>
              <w:t>Pre-bid conference</w:t>
            </w:r>
            <w:r w:rsidRPr="00D6506F">
              <w:rPr>
                <w:rStyle w:val="eop"/>
                <w:rFonts w:ascii="Calibri Light" w:hAnsi="Calibri Light" w:cs="Calibri Light"/>
              </w:rPr>
              <w:t> 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A60E9" w14:textId="731B64A8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Date of pre-bid conference: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April </w:t>
            </w:r>
            <w:r w:rsidR="001E212C">
              <w:rPr>
                <w:rFonts w:asciiTheme="majorHAnsi" w:eastAsiaTheme="majorEastAsia" w:hAnsiTheme="majorHAnsi" w:cstheme="majorBidi"/>
                <w:sz w:val="24"/>
                <w:szCs w:val="24"/>
              </w:rPr>
              <w:t>24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th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</w:t>
            </w:r>
          </w:p>
          <w:p w14:paraId="53F48370" w14:textId="6E73B746" w:rsidR="000C78A7" w:rsidRPr="00D6506F" w:rsidRDefault="000C78A7" w:rsidP="000C78A7">
            <w:pPr>
              <w:spacing w:after="0"/>
              <w:ind w:left="105" w:right="-20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Interested bidders are requested to register on the link below by 1</w:t>
            </w:r>
            <w:r w:rsidR="00D6506F"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5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00 hours, April </w:t>
            </w:r>
            <w:r w:rsidR="001E212C">
              <w:rPr>
                <w:rFonts w:asciiTheme="majorHAnsi" w:eastAsiaTheme="majorEastAsia" w:hAnsiTheme="majorHAnsi" w:cstheme="majorBidi"/>
                <w:sz w:val="24"/>
                <w:szCs w:val="24"/>
              </w:rPr>
              <w:t>23</w:t>
            </w:r>
            <w:r w:rsidR="001E212C" w:rsidRPr="001E212C">
              <w:rPr>
                <w:rFonts w:asciiTheme="majorHAnsi" w:eastAsiaTheme="majorEastAsia" w:hAnsiTheme="majorHAnsi" w:cstheme="majorBidi"/>
                <w:sz w:val="24"/>
                <w:szCs w:val="24"/>
                <w:vertAlign w:val="superscript"/>
              </w:rPr>
              <w:t>rd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, 2024. A Microsoft Teams link for the pre-bid meeting will be shared with bidders who will have registered.</w:t>
            </w:r>
          </w:p>
          <w:p w14:paraId="666353C0" w14:textId="77777777" w:rsidR="000C78A7" w:rsidRPr="00D6506F" w:rsidRDefault="000C78A7" w:rsidP="000C78A7">
            <w:pPr>
              <w:pStyle w:val="NoSpacing"/>
              <w:ind w:left="-20" w:right="-20"/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  <w:p w14:paraId="7A78F285" w14:textId="0B90D474" w:rsidR="00115C1E" w:rsidRPr="00D6506F" w:rsidRDefault="000C78A7" w:rsidP="000C78A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Theme="majorEastAsia" w:hAnsiTheme="majorHAnsi" w:cstheme="majorBidi"/>
                <w:sz w:val="24"/>
                <w:szCs w:val="24"/>
              </w:rPr>
              <w:t>For Registration Link click:</w:t>
            </w:r>
            <w:r w:rsidRPr="00D6506F">
              <w:rPr>
                <w:rFonts w:asciiTheme="majorHAnsi" w:eastAsiaTheme="majorEastAsia" w:hAnsiTheme="majorHAnsi" w:cstheme="majorBidi"/>
                <w:color w:val="1F497D"/>
                <w:sz w:val="24"/>
                <w:szCs w:val="24"/>
              </w:rPr>
              <w:t xml:space="preserve"> </w:t>
            </w:r>
            <w:hyperlink r:id="rId13">
              <w:r w:rsidRPr="00D6506F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color w:val="0563C1"/>
                  <w:sz w:val="24"/>
                  <w:szCs w:val="24"/>
                </w:rPr>
                <w:t>HERE</w:t>
              </w:r>
            </w:hyperlink>
          </w:p>
        </w:tc>
      </w:tr>
      <w:tr w:rsidR="00115C1E" w:rsidRPr="0090474C" w14:paraId="10E92E1A" w14:textId="77777777" w:rsidTr="000C78A7">
        <w:trPr>
          <w:trHeight w:hRule="exact" w:val="393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1D0D" w14:textId="77777777" w:rsidR="00115C1E" w:rsidRPr="00D6506F" w:rsidRDefault="00115C1E" w:rsidP="00115C1E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Submission Deadline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5171" w14:textId="3A54DB30" w:rsidR="00115C1E" w:rsidRPr="00D6506F" w:rsidRDefault="001E212C" w:rsidP="00115C1E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May 2</w:t>
            </w:r>
            <w:r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nd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, 2024, 5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="00115C1E" w:rsidRPr="00D6506F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="00115C1E" w:rsidRPr="00D6506F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="00115C1E"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="00115C1E" w:rsidRPr="00D6506F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="00115C1E"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="00115C1E"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="00115C1E"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="00115C1E"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</w:tc>
      </w:tr>
      <w:tr w:rsidR="00115C1E" w:rsidRPr="0090474C" w14:paraId="20C0D3F8" w14:textId="77777777" w:rsidTr="000C78A7">
        <w:trPr>
          <w:trHeight w:hRule="exact" w:val="348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4AF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Type of Consultancy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A2C43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 </w:t>
            </w:r>
            <w:r w:rsidRPr="00280ADD">
              <w:rPr>
                <w:rFonts w:asciiTheme="majorHAnsi" w:eastAsia="Times New Roman" w:hAnsiTheme="majorHAnsi" w:cstheme="majorHAnsi"/>
                <w:b/>
                <w:bCs/>
                <w:spacing w:val="2"/>
                <w:sz w:val="24"/>
                <w:szCs w:val="24"/>
              </w:rPr>
              <w:t>Consultancy Firm</w:t>
            </w:r>
          </w:p>
        </w:tc>
      </w:tr>
    </w:tbl>
    <w:p w14:paraId="600254E6" w14:textId="4A3621B0" w:rsidR="009256BF" w:rsidRPr="0090474C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Introduction</w:t>
      </w:r>
      <w:r w:rsidR="00104182" w:rsidRPr="0090474C">
        <w:rPr>
          <w:rFonts w:asciiTheme="majorHAnsi" w:hAnsiTheme="majorHAnsi" w:cstheme="majorHAnsi"/>
          <w:b/>
          <w:bCs/>
        </w:rPr>
        <w:t>:</w:t>
      </w:r>
    </w:p>
    <w:p w14:paraId="19B73F3F" w14:textId="77777777" w:rsidR="007E2456" w:rsidRPr="0090474C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7142F96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AGRA has automated its procurement process through Oracle Supply Chain Management System. To access our tenders, you are required to register and have an oracle account. </w:t>
      </w:r>
    </w:p>
    <w:p w14:paraId="31675B15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</w:rPr>
      </w:pPr>
    </w:p>
    <w:p w14:paraId="651E0CF8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Details of the tender can be accessed via AGRA Oracle vendor management system. All bidders </w:t>
      </w:r>
      <w:r w:rsidRPr="0090474C">
        <w:rPr>
          <w:rFonts w:asciiTheme="majorHAnsi" w:hAnsiTheme="majorHAnsi" w:cstheme="majorHAnsi"/>
          <w:b/>
          <w:bCs/>
        </w:rPr>
        <w:t>MUST</w:t>
      </w:r>
      <w:r w:rsidRPr="0090474C">
        <w:rPr>
          <w:rFonts w:asciiTheme="majorHAnsi" w:hAnsiTheme="majorHAnsi" w:cstheme="majorHAnsi"/>
        </w:rPr>
        <w:t xml:space="preserve"> register in the oracle system as per the</w:t>
      </w:r>
      <w:r w:rsidRPr="0090474C">
        <w:rPr>
          <w:rFonts w:asciiTheme="majorHAnsi" w:hAnsiTheme="majorHAnsi" w:cstheme="majorHAnsi"/>
          <w:color w:val="2E74B5" w:themeColor="accent5" w:themeShade="BF"/>
        </w:rPr>
        <w:t xml:space="preserve"> </w:t>
      </w:r>
      <w:hyperlink r:id="rId14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provided. If you don’t have an account please register in our oracle system using the </w:t>
      </w:r>
      <w:hyperlink r:id="rId15" w:history="1">
        <w:r w:rsidRPr="0090474C">
          <w:rPr>
            <w:rStyle w:val="Hyperlink"/>
            <w:rFonts w:asciiTheme="majorHAnsi" w:hAnsiTheme="majorHAnsi" w:cstheme="majorHAnsi"/>
          </w:rPr>
          <w:t>Vendor  registration</w:t>
        </w:r>
      </w:hyperlink>
      <w:r w:rsidRPr="0090474C">
        <w:rPr>
          <w:rFonts w:asciiTheme="majorHAnsi" w:hAnsiTheme="majorHAnsi" w:cstheme="majorHAnsi"/>
          <w:color w:val="auto"/>
        </w:rPr>
        <w:t xml:space="preserve"> </w:t>
      </w:r>
      <w:r w:rsidRPr="0090474C">
        <w:rPr>
          <w:rFonts w:asciiTheme="majorHAnsi" w:hAnsiTheme="majorHAnsi" w:cstheme="majorHAnsi"/>
        </w:rPr>
        <w:t xml:space="preserve"> link.   </w:t>
      </w:r>
    </w:p>
    <w:p w14:paraId="4CE465D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</w:p>
    <w:p w14:paraId="71243B47" w14:textId="7CB9B6FC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For vendors with an AGRA Oracle account please login to your </w:t>
      </w:r>
      <w:hyperlink r:id="rId16" w:history="1">
        <w:r w:rsidRPr="0090474C">
          <w:rPr>
            <w:rStyle w:val="Hyperlink"/>
            <w:rFonts w:asciiTheme="majorHAnsi" w:hAnsiTheme="majorHAnsi" w:cstheme="majorHAnsi"/>
          </w:rPr>
          <w:t>Vendor Portal</w:t>
        </w:r>
      </w:hyperlink>
      <w:r w:rsidRPr="0090474C">
        <w:rPr>
          <w:rFonts w:asciiTheme="majorHAnsi" w:hAnsiTheme="majorHAnsi" w:cstheme="majorHAnsi"/>
          <w:color w:val="auto"/>
        </w:rPr>
        <w:t xml:space="preserve">  </w:t>
      </w:r>
      <w:r w:rsidRPr="0090474C">
        <w:rPr>
          <w:rFonts w:asciiTheme="majorHAnsi" w:hAnsiTheme="majorHAnsi" w:cstheme="majorHAnsi"/>
        </w:rPr>
        <w:t xml:space="preserve">and search for negotiation number </w:t>
      </w:r>
      <w:hyperlink r:id="rId17" w:history="1">
        <w:r w:rsidR="001A3656" w:rsidRPr="007129CF">
          <w:rPr>
            <w:rStyle w:val="Hyperlink"/>
            <w:rFonts w:asciiTheme="majorHAnsi" w:hAnsiTheme="majorHAnsi" w:cstheme="majorHAnsi"/>
            <w:b/>
            <w:bCs/>
            <w:i/>
            <w:iCs/>
          </w:rPr>
          <w:t xml:space="preserve">RFP AGRA- </w:t>
        </w:r>
        <w:r w:rsidR="00900E7C" w:rsidRPr="007129CF">
          <w:rPr>
            <w:rStyle w:val="Hyperlink"/>
            <w:rFonts w:asciiTheme="majorHAnsi" w:hAnsiTheme="majorHAnsi" w:cstheme="majorHAnsi"/>
            <w:b/>
            <w:bCs/>
            <w:i/>
            <w:iCs/>
          </w:rPr>
          <w:t>RW-10</w:t>
        </w:r>
        <w:r w:rsidR="001E212C" w:rsidRPr="007129CF">
          <w:rPr>
            <w:rStyle w:val="Hyperlink"/>
            <w:rFonts w:asciiTheme="majorHAnsi" w:hAnsiTheme="majorHAnsi" w:cstheme="majorHAnsi"/>
            <w:b/>
            <w:bCs/>
            <w:i/>
            <w:iCs/>
          </w:rPr>
          <w:t>22</w:t>
        </w:r>
      </w:hyperlink>
      <w:r w:rsidR="00900E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74C">
        <w:rPr>
          <w:rFonts w:asciiTheme="majorHAnsi" w:hAnsiTheme="majorHAnsi" w:cstheme="majorHAnsi"/>
        </w:rPr>
        <w:t>following the</w:t>
      </w:r>
      <w:bookmarkStart w:id="0" w:name="_Hlk148988131"/>
      <w:r w:rsidRPr="0090474C">
        <w:rPr>
          <w:rFonts w:asciiTheme="majorHAnsi" w:hAnsiTheme="majorHAnsi" w:cstheme="majorHAnsi"/>
        </w:rPr>
        <w:t xml:space="preserve"> </w:t>
      </w:r>
      <w:bookmarkEnd w:id="0"/>
      <w:r w:rsidRPr="0090474C">
        <w:rPr>
          <w:rFonts w:asciiTheme="majorHAnsi" w:hAnsiTheme="majorHAnsi" w:cstheme="majorHAnsi"/>
          <w:color w:val="auto"/>
        </w:rPr>
        <w:t xml:space="preserve">provided </w:t>
      </w:r>
      <w:hyperlink r:id="rId18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</w:p>
    <w:p w14:paraId="1602FFE4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  <w:color w:val="2E74B5" w:themeColor="accent5" w:themeShade="BF"/>
        </w:rPr>
      </w:pPr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 </w:t>
      </w:r>
    </w:p>
    <w:p w14:paraId="0C1F934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90474C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32623FF9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7E3CEEDF" w14:textId="77777777" w:rsidR="000C286E" w:rsidRPr="00C43111" w:rsidRDefault="00000000" w:rsidP="000C286E">
      <w:pPr>
        <w:pStyle w:val="Default"/>
        <w:numPr>
          <w:ilvl w:val="0"/>
          <w:numId w:val="4"/>
        </w:numPr>
        <w:rPr>
          <w:rStyle w:val="Hyperlink"/>
          <w:rFonts w:asciiTheme="majorHAnsi" w:hAnsiTheme="majorHAnsi" w:cstheme="majorHAnsi"/>
          <w:b/>
          <w:bCs/>
          <w:color w:val="2E74B5" w:themeColor="accent5" w:themeShade="BF"/>
          <w:u w:val="none"/>
        </w:rPr>
      </w:pPr>
      <w:hyperlink r:id="rId19" w:history="1">
        <w:r w:rsidR="000C286E" w:rsidRPr="00C43111">
          <w:rPr>
            <w:rStyle w:val="Hyperlink"/>
            <w:rFonts w:asciiTheme="majorHAnsi" w:hAnsiTheme="majorHAnsi" w:cstheme="majorHAnsi"/>
            <w:b/>
            <w:bCs/>
          </w:rPr>
          <w:t>Vendor Registration and Bidding Manual</w:t>
        </w:r>
      </w:hyperlink>
    </w:p>
    <w:p w14:paraId="3D114786" w14:textId="34BB6CC8" w:rsidR="0048673C" w:rsidRPr="00D6506F" w:rsidRDefault="007129CF" w:rsidP="00392BA6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hyperlink r:id="rId20" w:history="1">
        <w:r w:rsidR="000C286E" w:rsidRPr="007129CF">
          <w:rPr>
            <w:rStyle w:val="Hyperlink"/>
            <w:rFonts w:asciiTheme="majorHAnsi" w:hAnsiTheme="majorHAnsi" w:cstheme="majorHAnsi"/>
            <w:b/>
            <w:bCs/>
          </w:rPr>
          <w:t>RFP</w:t>
        </w:r>
        <w:r w:rsidR="00CC6465" w:rsidRPr="007129CF">
          <w:rPr>
            <w:rStyle w:val="Hyperlink"/>
            <w:rFonts w:asciiTheme="majorHAnsi" w:hAnsiTheme="majorHAnsi" w:cstheme="majorHAnsi"/>
            <w:b/>
            <w:bCs/>
          </w:rPr>
          <w:t xml:space="preserve"> AGRA-</w:t>
        </w:r>
        <w:r w:rsidR="00900E7C" w:rsidRPr="007129CF">
          <w:rPr>
            <w:rStyle w:val="Hyperlink"/>
            <w:rFonts w:asciiTheme="majorHAnsi" w:hAnsiTheme="majorHAnsi" w:cstheme="majorHAnsi"/>
            <w:b/>
            <w:bCs/>
          </w:rPr>
          <w:t>RW-10</w:t>
        </w:r>
        <w:r w:rsidR="001E212C" w:rsidRPr="007129CF">
          <w:rPr>
            <w:rStyle w:val="Hyperlink"/>
            <w:rFonts w:asciiTheme="majorHAnsi" w:hAnsiTheme="majorHAnsi" w:cstheme="majorHAnsi"/>
            <w:b/>
            <w:bCs/>
          </w:rPr>
          <w:t>22</w:t>
        </w:r>
        <w:r w:rsidR="000C286E" w:rsidRPr="007129CF">
          <w:rPr>
            <w:rStyle w:val="Hyperlink"/>
            <w:rFonts w:asciiTheme="majorHAnsi" w:hAnsiTheme="majorHAnsi" w:cstheme="majorHAnsi"/>
            <w:b/>
            <w:bCs/>
          </w:rPr>
          <w:t xml:space="preserve">: </w:t>
        </w:r>
        <w:r w:rsidR="001E212C" w:rsidRPr="007129CF">
          <w:rPr>
            <w:rStyle w:val="Hyperlink"/>
            <w:rFonts w:asciiTheme="majorHAnsi" w:hAnsiTheme="majorHAnsi" w:cstheme="majorHAnsi"/>
            <w:b/>
            <w:bCs/>
          </w:rPr>
          <w:t>Consultancy for Media, Communications, and External Engagement</w:t>
        </w:r>
      </w:hyperlink>
      <w:r w:rsidR="001E212C" w:rsidRPr="001E212C">
        <w:rPr>
          <w:rFonts w:asciiTheme="majorHAnsi" w:hAnsiTheme="majorHAnsi" w:cstheme="majorHAnsi"/>
          <w:b/>
          <w:bCs/>
        </w:rPr>
        <w:t xml:space="preserve"> </w:t>
      </w:r>
    </w:p>
    <w:p w14:paraId="0636C2A1" w14:textId="77777777" w:rsidR="00115C1E" w:rsidRDefault="00115C1E" w:rsidP="007129CF">
      <w:pPr>
        <w:pStyle w:val="Default"/>
        <w:ind w:left="720"/>
        <w:rPr>
          <w:rFonts w:asciiTheme="majorHAnsi" w:hAnsiTheme="majorHAnsi" w:cstheme="majorHAnsi"/>
          <w:b/>
          <w:bCs/>
        </w:rPr>
      </w:pPr>
    </w:p>
    <w:p w14:paraId="4342A145" w14:textId="77777777" w:rsidR="00C43111" w:rsidRDefault="00C43111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060EF0C1" w:rsidR="008B7E4A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AGRA Nairobi- Kenya</w:t>
      </w:r>
    </w:p>
    <w:p w14:paraId="12707A51" w14:textId="2B3CA1ED" w:rsidR="0048673C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Procurement Team</w:t>
      </w:r>
    </w:p>
    <w:sectPr w:rsidR="0048673C" w:rsidRPr="0090474C" w:rsidSect="00C55A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8887" w14:textId="77777777" w:rsidR="00C55AF4" w:rsidRDefault="00C55AF4" w:rsidP="009263CF">
      <w:pPr>
        <w:spacing w:after="0" w:line="240" w:lineRule="auto"/>
      </w:pPr>
      <w:r>
        <w:separator/>
      </w:r>
    </w:p>
  </w:endnote>
  <w:endnote w:type="continuationSeparator" w:id="0">
    <w:p w14:paraId="643B6C12" w14:textId="77777777" w:rsidR="00C55AF4" w:rsidRDefault="00C55AF4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384" w14:textId="77777777" w:rsidR="00115C1E" w:rsidRDefault="001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2CC" w14:textId="77777777" w:rsidR="00115C1E" w:rsidRDefault="0011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6AC" w14:textId="77777777" w:rsidR="00115C1E" w:rsidRDefault="001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1A2C3" w14:textId="77777777" w:rsidR="00C55AF4" w:rsidRDefault="00C55AF4" w:rsidP="009263CF">
      <w:pPr>
        <w:spacing w:after="0" w:line="240" w:lineRule="auto"/>
      </w:pPr>
      <w:r>
        <w:separator/>
      </w:r>
    </w:p>
  </w:footnote>
  <w:footnote w:type="continuationSeparator" w:id="0">
    <w:p w14:paraId="3E24F6DE" w14:textId="77777777" w:rsidR="00C55AF4" w:rsidRDefault="00C55AF4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2A3" w14:textId="77777777" w:rsidR="00115C1E" w:rsidRDefault="001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60F97066">
          <wp:extent cx="1238250" cy="482716"/>
          <wp:effectExtent l="0" t="0" r="0" b="0"/>
          <wp:docPr id="189185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1" cy="49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D2B" w14:textId="77777777" w:rsidR="00115C1E" w:rsidRDefault="001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963E3F70"/>
    <w:lvl w:ilvl="0" w:tplc="10EE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583069">
    <w:abstractNumId w:val="2"/>
  </w:num>
  <w:num w:numId="2" w16cid:durableId="763693022">
    <w:abstractNumId w:val="1"/>
  </w:num>
  <w:num w:numId="3" w16cid:durableId="1215778450">
    <w:abstractNumId w:val="0"/>
  </w:num>
  <w:num w:numId="4" w16cid:durableId="5878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02FA9"/>
    <w:rsid w:val="00010705"/>
    <w:rsid w:val="00025AA0"/>
    <w:rsid w:val="000305C1"/>
    <w:rsid w:val="000A4663"/>
    <w:rsid w:val="000B3B96"/>
    <w:rsid w:val="000C0D0A"/>
    <w:rsid w:val="000C286E"/>
    <w:rsid w:val="000C6F26"/>
    <w:rsid w:val="000C78A7"/>
    <w:rsid w:val="000D6487"/>
    <w:rsid w:val="000D7C85"/>
    <w:rsid w:val="000F363D"/>
    <w:rsid w:val="00104182"/>
    <w:rsid w:val="00115C1E"/>
    <w:rsid w:val="001166B1"/>
    <w:rsid w:val="00177C34"/>
    <w:rsid w:val="00185F4E"/>
    <w:rsid w:val="001A3656"/>
    <w:rsid w:val="001E212C"/>
    <w:rsid w:val="001E4088"/>
    <w:rsid w:val="002016CE"/>
    <w:rsid w:val="00201706"/>
    <w:rsid w:val="0021654E"/>
    <w:rsid w:val="00231966"/>
    <w:rsid w:val="0024541D"/>
    <w:rsid w:val="002701DC"/>
    <w:rsid w:val="00274D0A"/>
    <w:rsid w:val="0027715F"/>
    <w:rsid w:val="00295750"/>
    <w:rsid w:val="002A0FB4"/>
    <w:rsid w:val="002A405B"/>
    <w:rsid w:val="002B4327"/>
    <w:rsid w:val="002E0B76"/>
    <w:rsid w:val="002F04EB"/>
    <w:rsid w:val="00323FA4"/>
    <w:rsid w:val="00326769"/>
    <w:rsid w:val="003300F9"/>
    <w:rsid w:val="0033211F"/>
    <w:rsid w:val="003359E5"/>
    <w:rsid w:val="0034107D"/>
    <w:rsid w:val="00341D26"/>
    <w:rsid w:val="00345CF2"/>
    <w:rsid w:val="00346D00"/>
    <w:rsid w:val="00356E59"/>
    <w:rsid w:val="00357FA1"/>
    <w:rsid w:val="00367ACE"/>
    <w:rsid w:val="0037626D"/>
    <w:rsid w:val="00377D31"/>
    <w:rsid w:val="00387910"/>
    <w:rsid w:val="00394ADA"/>
    <w:rsid w:val="003A608E"/>
    <w:rsid w:val="003E3900"/>
    <w:rsid w:val="003E67C7"/>
    <w:rsid w:val="00407482"/>
    <w:rsid w:val="004417A8"/>
    <w:rsid w:val="00452B86"/>
    <w:rsid w:val="00453A29"/>
    <w:rsid w:val="00460181"/>
    <w:rsid w:val="00461E32"/>
    <w:rsid w:val="00465799"/>
    <w:rsid w:val="00467492"/>
    <w:rsid w:val="0048673C"/>
    <w:rsid w:val="004A78B2"/>
    <w:rsid w:val="004B3320"/>
    <w:rsid w:val="00505095"/>
    <w:rsid w:val="00525388"/>
    <w:rsid w:val="0054466E"/>
    <w:rsid w:val="0055330B"/>
    <w:rsid w:val="0056092F"/>
    <w:rsid w:val="00562463"/>
    <w:rsid w:val="005772F5"/>
    <w:rsid w:val="00583FAA"/>
    <w:rsid w:val="00591E9B"/>
    <w:rsid w:val="005B29B2"/>
    <w:rsid w:val="005B7891"/>
    <w:rsid w:val="005C5AED"/>
    <w:rsid w:val="005D290C"/>
    <w:rsid w:val="005D2E76"/>
    <w:rsid w:val="005D7A6E"/>
    <w:rsid w:val="005E52C5"/>
    <w:rsid w:val="00601982"/>
    <w:rsid w:val="00603AAD"/>
    <w:rsid w:val="00603BEE"/>
    <w:rsid w:val="00610359"/>
    <w:rsid w:val="00624196"/>
    <w:rsid w:val="00634CD6"/>
    <w:rsid w:val="006579F9"/>
    <w:rsid w:val="00691666"/>
    <w:rsid w:val="006A700D"/>
    <w:rsid w:val="006B01B1"/>
    <w:rsid w:val="006D599F"/>
    <w:rsid w:val="006D62F7"/>
    <w:rsid w:val="007129CF"/>
    <w:rsid w:val="007209AD"/>
    <w:rsid w:val="00727807"/>
    <w:rsid w:val="00731109"/>
    <w:rsid w:val="007320E6"/>
    <w:rsid w:val="007328AD"/>
    <w:rsid w:val="00740F7E"/>
    <w:rsid w:val="00773420"/>
    <w:rsid w:val="007736F6"/>
    <w:rsid w:val="00785ED4"/>
    <w:rsid w:val="007867FF"/>
    <w:rsid w:val="007A5801"/>
    <w:rsid w:val="007A7D7C"/>
    <w:rsid w:val="007E2456"/>
    <w:rsid w:val="007E76EB"/>
    <w:rsid w:val="00800C95"/>
    <w:rsid w:val="00840B66"/>
    <w:rsid w:val="00876CAE"/>
    <w:rsid w:val="00885AB9"/>
    <w:rsid w:val="008878F0"/>
    <w:rsid w:val="008933D5"/>
    <w:rsid w:val="008B7E4A"/>
    <w:rsid w:val="008E79C5"/>
    <w:rsid w:val="00900E7C"/>
    <w:rsid w:val="0090474C"/>
    <w:rsid w:val="009256BF"/>
    <w:rsid w:val="00925C1B"/>
    <w:rsid w:val="009263CF"/>
    <w:rsid w:val="00934DB5"/>
    <w:rsid w:val="009366BC"/>
    <w:rsid w:val="00953E2D"/>
    <w:rsid w:val="00970DE8"/>
    <w:rsid w:val="00985710"/>
    <w:rsid w:val="009B5AE0"/>
    <w:rsid w:val="009E0C22"/>
    <w:rsid w:val="00A029BB"/>
    <w:rsid w:val="00A07F96"/>
    <w:rsid w:val="00A4048F"/>
    <w:rsid w:val="00A44A33"/>
    <w:rsid w:val="00A549E0"/>
    <w:rsid w:val="00A67485"/>
    <w:rsid w:val="00A820C5"/>
    <w:rsid w:val="00A96C0B"/>
    <w:rsid w:val="00AA61FE"/>
    <w:rsid w:val="00AA7D2E"/>
    <w:rsid w:val="00AB06EF"/>
    <w:rsid w:val="00AB3809"/>
    <w:rsid w:val="00AB3AAF"/>
    <w:rsid w:val="00AC5B0B"/>
    <w:rsid w:val="00AE23FB"/>
    <w:rsid w:val="00AE4614"/>
    <w:rsid w:val="00AE5EA5"/>
    <w:rsid w:val="00B55A78"/>
    <w:rsid w:val="00B71986"/>
    <w:rsid w:val="00BA0C6C"/>
    <w:rsid w:val="00BA0E51"/>
    <w:rsid w:val="00BA448A"/>
    <w:rsid w:val="00BA6B98"/>
    <w:rsid w:val="00BB2803"/>
    <w:rsid w:val="00BB2AD6"/>
    <w:rsid w:val="00BE4526"/>
    <w:rsid w:val="00C0190F"/>
    <w:rsid w:val="00C16861"/>
    <w:rsid w:val="00C24027"/>
    <w:rsid w:val="00C43111"/>
    <w:rsid w:val="00C55AF4"/>
    <w:rsid w:val="00CA62EB"/>
    <w:rsid w:val="00CA6C0D"/>
    <w:rsid w:val="00CC6465"/>
    <w:rsid w:val="00CE2DE8"/>
    <w:rsid w:val="00CE5778"/>
    <w:rsid w:val="00CF1F06"/>
    <w:rsid w:val="00D017B7"/>
    <w:rsid w:val="00D01FD6"/>
    <w:rsid w:val="00D30F0E"/>
    <w:rsid w:val="00D50708"/>
    <w:rsid w:val="00D52075"/>
    <w:rsid w:val="00D6506F"/>
    <w:rsid w:val="00DA5234"/>
    <w:rsid w:val="00DA6D45"/>
    <w:rsid w:val="00DC4692"/>
    <w:rsid w:val="00DE574A"/>
    <w:rsid w:val="00E12598"/>
    <w:rsid w:val="00E40CAA"/>
    <w:rsid w:val="00E410A7"/>
    <w:rsid w:val="00E60036"/>
    <w:rsid w:val="00E66362"/>
    <w:rsid w:val="00E7337D"/>
    <w:rsid w:val="00E95935"/>
    <w:rsid w:val="00EA1E68"/>
    <w:rsid w:val="00EB4F9B"/>
    <w:rsid w:val="00EB70FD"/>
    <w:rsid w:val="00EC653C"/>
    <w:rsid w:val="00EC6616"/>
    <w:rsid w:val="00ED2D08"/>
    <w:rsid w:val="00F06E74"/>
    <w:rsid w:val="00F20D21"/>
    <w:rsid w:val="00F22DC2"/>
    <w:rsid w:val="00F273E7"/>
    <w:rsid w:val="00F317DE"/>
    <w:rsid w:val="00F5764F"/>
    <w:rsid w:val="00F76FAA"/>
    <w:rsid w:val="00F92C38"/>
    <w:rsid w:val="00FA4B03"/>
    <w:rsid w:val="00FB362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5C1E"/>
  </w:style>
  <w:style w:type="character" w:customStyle="1" w:styleId="eop">
    <w:name w:val="eop"/>
    <w:basedOn w:val="DefaultParagraphFont"/>
    <w:rsid w:val="00115C1E"/>
  </w:style>
  <w:style w:type="paragraph" w:customStyle="1" w:styleId="paragraph">
    <w:name w:val="paragraph"/>
    <w:basedOn w:val="Normal"/>
    <w:rsid w:val="0011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office.com/r/vksmZR0XFZ" TargetMode="External"/><Relationship Id="rId18" Type="http://schemas.openxmlformats.org/officeDocument/2006/relationships/hyperlink" Target="https://agragreen.sharepoint.com/:b:/s/ORACLEADVERTISEDPROCUREMENTS/EarWzA6jCFFFg2S6g-n_7KsB4ei6iuCk8AsufgZa0mljaQ?e=nkHkaZ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Procurement@agra.org/" TargetMode="External"/><Relationship Id="rId17" Type="http://schemas.openxmlformats.org/officeDocument/2006/relationships/hyperlink" Target="https://agragreen.sharepoint.com/:w:/s/ORACLEADVERTISEDPROCUREMENTS/EVjnutBdOydPkes8ZPEDQAwB72R_0NYadR5HaE9Rp-QECQ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20" Type="http://schemas.openxmlformats.org/officeDocument/2006/relationships/hyperlink" Target="https://agragreen.sharepoint.com/:w:/s/ORACLEADVERTISEDPROCUREMENTS/EVjnutBdOydPkes8ZPEDQAwB72R_0NYadR5HaE9Rp-QEC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agreen.sharepoint.com/:w:/s/ORACLEADVERTISEDPROCUREMENTS/EVjnutBdOydPkes8ZPEDQAwB72R_0NYadR5HaE9Rp-QECQ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agragreen.sharepoint.com/:b:/s/ORACLEADVERTISEDPROCUREMENTS/EarWzA6jCFFFg2S6g-n_7KsB4ei6iuCk8AsufgZa0mljaQ?e=QCNdX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gragreen.sharepoint.com/:b:/s/ORACLEADVERTISEDPROCUREMENTS/EarWzA6jCFFFg2S6g-n_7KsB4ei6iuCk8AsufgZa0mljaQ?e=nkHkaZ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671bf-e3de-4f03-a925-c24c25ff5096" xsi:nil="true"/>
    <lcf76f155ced4ddcb4097134ff3c332f xmlns="18bbd45f-b46a-4b2c-b698-b57aa88a285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DB16A-C026-4E3A-8940-8A1C1B79AB0A}">
  <ds:schemaRefs>
    <ds:schemaRef ds:uri="http://schemas.microsoft.com/office/2006/metadata/properties"/>
    <ds:schemaRef ds:uri="http://schemas.microsoft.com/office/infopath/2007/PartnerControls"/>
    <ds:schemaRef ds:uri="813671bf-e3de-4f03-a925-c24c25ff5096"/>
    <ds:schemaRef ds:uri="18bbd45f-b46a-4b2c-b698-b57aa88a285f"/>
  </ds:schemaRefs>
</ds:datastoreItem>
</file>

<file path=customXml/itemProps2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0C344E-FB82-4DDE-AF81-257E9FD9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192B7C-DEF4-4175-A208-AF5305370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Agwata, Peter</cp:lastModifiedBy>
  <cp:revision>45</cp:revision>
  <cp:lastPrinted>2023-10-24T05:09:00Z</cp:lastPrinted>
  <dcterms:created xsi:type="dcterms:W3CDTF">2023-11-02T19:54:00Z</dcterms:created>
  <dcterms:modified xsi:type="dcterms:W3CDTF">2024-04-11T13:25:00Z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0x0101005F0E5D2F048D6F4B80DB8DC976B2D4E2</vt:lpwstr>
  </property>
  <property fmtid="{D5CDD505-2E9C-101B-9397-08002B2CF9AE}" pid="3" name="MediaServiceImageTags">
    <vt:lpwstr/>
  </property>
</Properties>
</file>